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B47C3" w14:textId="2EA63B01" w:rsidR="007F4CE8" w:rsidRPr="007F4CE8" w:rsidRDefault="007F4CE8">
      <w:pPr>
        <w:rPr>
          <w:b/>
          <w:bCs/>
          <w:u w:val="single"/>
        </w:rPr>
      </w:pPr>
      <w:r w:rsidRPr="007F4CE8">
        <w:rPr>
          <w:b/>
          <w:bCs/>
          <w:u w:val="single"/>
        </w:rPr>
        <w:t>Definition</w:t>
      </w:r>
    </w:p>
    <w:p w14:paraId="2D0E5495" w14:textId="31B4A002" w:rsidR="00D74A36" w:rsidRDefault="00ED6351">
      <w:r w:rsidRPr="00ED6351">
        <w:t xml:space="preserve">‘Women in power and decision-making’ refers to the ability of women, individually and collectively, to influence decisions, shape policies, and drive transformational change. Powerful women are those who establish trust, credibility, and legitimacy, particularly in male-dominated spaces, enabling them to influence others and make direct impact. It involves removing structural, institutional, economic and cultural barriers to women’s equal participation and access to power. With their skills and capabilities, women can empower others to pursue leadership </w:t>
      </w:r>
      <w:proofErr w:type="gramStart"/>
      <w:r w:rsidRPr="00ED6351">
        <w:t>roles, and</w:t>
      </w:r>
      <w:proofErr w:type="gramEnd"/>
      <w:r w:rsidRPr="00ED6351">
        <w:t xml:space="preserve"> create opportunities for future generations through strong institutional support and sustainable succession planning.</w:t>
      </w:r>
    </w:p>
    <w:p w14:paraId="50331866" w14:textId="77777777" w:rsidR="00ED6351" w:rsidRDefault="00ED6351"/>
    <w:p w14:paraId="54F66BBF" w14:textId="6B0FDEED" w:rsidR="007F4CE8" w:rsidRPr="007F4CE8" w:rsidRDefault="007F4CE8">
      <w:pPr>
        <w:rPr>
          <w:b/>
          <w:bCs/>
          <w:u w:val="single"/>
        </w:rPr>
      </w:pPr>
      <w:r w:rsidRPr="007F4CE8">
        <w:rPr>
          <w:b/>
          <w:bCs/>
          <w:u w:val="single"/>
        </w:rPr>
        <w:t>Methodology</w:t>
      </w:r>
    </w:p>
    <w:p w14:paraId="4B8D05B8" w14:textId="24122E16" w:rsidR="00ED6351" w:rsidRDefault="00ED6351">
      <w:r w:rsidRPr="00ED6351">
        <w:t xml:space="preserve">This review examines progress on Women in Power and Decision-Making since the Beijing+25 review period, from the perspective of civil society and women’s organisations, recognising that substantial analysis and evidence were generated during the Beijing+25 process and subsequent years. Rather than reassessing developments since 1995, the review focuses on more recent trends, commitments, and outcomes. The analysis looks at women in both the public and private sectors. It goes on to identify examples of good practice, highlight gaps and barriers, and develop recommendations </w:t>
      </w:r>
      <w:r w:rsidR="00D75F6B">
        <w:t xml:space="preserve">to </w:t>
      </w:r>
      <w:r w:rsidRPr="00ED6351">
        <w:t>advanc</w:t>
      </w:r>
      <w:r w:rsidR="00D75F6B">
        <w:t>e</w:t>
      </w:r>
      <w:r w:rsidRPr="00ED6351">
        <w:t xml:space="preserve"> sustainable</w:t>
      </w:r>
      <w:r w:rsidR="00D75F6B">
        <w:t xml:space="preserve">, </w:t>
      </w:r>
      <w:r w:rsidRPr="00ED6351">
        <w:t>systemic change.</w:t>
      </w:r>
    </w:p>
    <w:p w14:paraId="3C3D7E5C" w14:textId="77777777" w:rsidR="00ED6351" w:rsidRDefault="00ED6351"/>
    <w:p w14:paraId="1804B9CA" w14:textId="4CE611D2" w:rsidR="007F4CE8" w:rsidRPr="007F4CE8" w:rsidRDefault="007F4CE8">
      <w:pPr>
        <w:rPr>
          <w:b/>
          <w:bCs/>
          <w:u w:val="single"/>
        </w:rPr>
      </w:pPr>
      <w:r w:rsidRPr="007F4CE8">
        <w:rPr>
          <w:b/>
          <w:bCs/>
          <w:u w:val="single"/>
        </w:rPr>
        <w:t>Analysis Undertaken</w:t>
      </w:r>
    </w:p>
    <w:p w14:paraId="656844DA" w14:textId="61C29DA8" w:rsidR="00ED6351" w:rsidRPr="00ED6351" w:rsidRDefault="00ED6351" w:rsidP="00ED6351">
      <w:r w:rsidRPr="00ED6351">
        <w:t xml:space="preserve">The analysis </w:t>
      </w:r>
      <w:r w:rsidR="00C52626">
        <w:t xml:space="preserve">examined both </w:t>
      </w:r>
      <w:r w:rsidRPr="00ED6351">
        <w:t xml:space="preserve">qualitative and quantitative sources, including discourse analysis of news articles, press releases, European gender equality data, Inter-Parliamentary Union datasets, and relevant European Union policy frameworks. </w:t>
      </w:r>
      <w:r w:rsidR="00525BAB">
        <w:t>F</w:t>
      </w:r>
      <w:r w:rsidRPr="00ED6351">
        <w:t xml:space="preserve">indings were further explored through deliberative discussions to contextualise evidence and identify </w:t>
      </w:r>
      <w:r w:rsidR="00CE25E3">
        <w:t>common</w:t>
      </w:r>
      <w:r w:rsidRPr="00ED6351">
        <w:t xml:space="preserve"> experiences</w:t>
      </w:r>
      <w:r w:rsidR="00CE25E3">
        <w:t>.</w:t>
      </w:r>
    </w:p>
    <w:p w14:paraId="6C264C24" w14:textId="3C2A709D" w:rsidR="00ED6351" w:rsidRPr="00ED6351" w:rsidRDefault="00ED6351" w:rsidP="00ED6351">
      <w:r w:rsidRPr="00ED6351">
        <w:t xml:space="preserve">Three themes emerged: the gendered allocation of leadership roles; limited access to mentorship and development opportunities; and cultures </w:t>
      </w:r>
      <w:r w:rsidR="00352316">
        <w:t xml:space="preserve">in </w:t>
      </w:r>
      <w:r w:rsidRPr="00ED6351">
        <w:t>which men's voices</w:t>
      </w:r>
      <w:r w:rsidR="00136CF7">
        <w:t xml:space="preserve"> are</w:t>
      </w:r>
      <w:r w:rsidRPr="00ED6351">
        <w:t xml:space="preserve"> more trusted, valued, and acted upon.  The analysis identified persistent structural barriers, examples of good practice, and opportunities for sustainable cultural and institutional change.</w:t>
      </w:r>
    </w:p>
    <w:p w14:paraId="2D7C2054" w14:textId="4B6A5E4A" w:rsidR="00702286" w:rsidRDefault="00ED6351">
      <w:r w:rsidRPr="00ED6351">
        <w:t>The analysis highlighted that, while efforts are made to support women's entry into male-dominated sectors</w:t>
      </w:r>
      <w:r w:rsidR="00E703A5">
        <w:t xml:space="preserve"> </w:t>
      </w:r>
      <w:r w:rsidRPr="00ED6351">
        <w:t xml:space="preserve">and decision-making environments, considerably less attention is given to creating cultures in which women can thrive once they arrive. </w:t>
      </w:r>
      <w:r w:rsidR="00E703A5">
        <w:t xml:space="preserve">Improving </w:t>
      </w:r>
      <w:r w:rsidRPr="00ED6351">
        <w:t>the volume and experience of women requires more than increasing women's representation; it necessitates actively reshaping development pathways, workplace cultures, and leadership structures to be inclusive from the outset.</w:t>
      </w:r>
    </w:p>
    <w:p w14:paraId="71B688DB" w14:textId="77777777" w:rsidR="00ED6351" w:rsidRDefault="00ED6351"/>
    <w:p w14:paraId="7B81A463" w14:textId="077C6B3F" w:rsidR="007F4CE8" w:rsidRPr="007F4CE8" w:rsidRDefault="007F4CE8">
      <w:pPr>
        <w:rPr>
          <w:b/>
          <w:bCs/>
          <w:u w:val="single"/>
        </w:rPr>
      </w:pPr>
      <w:r w:rsidRPr="007F4CE8">
        <w:rPr>
          <w:b/>
          <w:bCs/>
          <w:u w:val="single"/>
        </w:rPr>
        <w:t>Achievements</w:t>
      </w:r>
    </w:p>
    <w:p w14:paraId="4E494025" w14:textId="3448209B" w:rsidR="007F4CE8" w:rsidRDefault="00702286" w:rsidP="00702286">
      <w:r w:rsidRPr="00702286">
        <w:t xml:space="preserve">Across the UNECE region, important progress has been made in advancing women's participation in leadership and decision-making. </w:t>
      </w:r>
      <w:r w:rsidR="00E703A5">
        <w:t xml:space="preserve">Increased </w:t>
      </w:r>
      <w:r w:rsidRPr="00702286">
        <w:t>representation</w:t>
      </w:r>
      <w:r w:rsidR="00E703A5">
        <w:t xml:space="preserve"> efforts</w:t>
      </w:r>
      <w:r w:rsidRPr="00702286">
        <w:t xml:space="preserve"> are reflected in the use of electoral gender quotas</w:t>
      </w:r>
      <w:r w:rsidR="00ED6351">
        <w:rPr>
          <w:rStyle w:val="FootnoteReference"/>
        </w:rPr>
        <w:footnoteReference w:id="1"/>
      </w:r>
      <w:r w:rsidR="00EF2A07">
        <w:rPr>
          <w:rStyle w:val="FootnoteReference"/>
        </w:rPr>
        <w:footnoteReference w:id="2"/>
      </w:r>
      <w:r w:rsidRPr="00702286">
        <w:t xml:space="preserve"> and</w:t>
      </w:r>
      <w:r>
        <w:t xml:space="preserve"> growing campaigns such as 50:50 </w:t>
      </w:r>
      <w:r w:rsidR="00ED6351">
        <w:t>Parliament</w:t>
      </w:r>
      <w:r w:rsidR="00ED6351">
        <w:rPr>
          <w:rStyle w:val="FootnoteReference"/>
        </w:rPr>
        <w:footnoteReference w:id="3"/>
      </w:r>
      <w:r w:rsidR="00ED6351">
        <w:t>.</w:t>
      </w:r>
      <w:r w:rsidRPr="00702286">
        <w:t xml:space="preserve"> </w:t>
      </w:r>
      <w:r w:rsidR="00ED6351">
        <w:t>I</w:t>
      </w:r>
      <w:r w:rsidR="00ED6351" w:rsidRPr="00702286">
        <w:t>nitiatives such as the EU Pay Transparency Directive</w:t>
      </w:r>
      <w:r w:rsidR="00ED6351">
        <w:rPr>
          <w:rStyle w:val="FootnoteReference"/>
        </w:rPr>
        <w:footnoteReference w:id="4"/>
      </w:r>
      <w:r w:rsidR="00ED6351" w:rsidRPr="00702286">
        <w:t xml:space="preserve"> and the Women </w:t>
      </w:r>
      <w:proofErr w:type="spellStart"/>
      <w:r w:rsidR="00ED6351" w:rsidRPr="00702286">
        <w:t>TechEU</w:t>
      </w:r>
      <w:proofErr w:type="spellEnd"/>
      <w:r w:rsidR="00ED6351">
        <w:rPr>
          <w:rStyle w:val="FootnoteReference"/>
        </w:rPr>
        <w:footnoteReference w:id="5"/>
      </w:r>
      <w:r w:rsidR="00ED6351" w:rsidRPr="00702286">
        <w:t xml:space="preserve"> programme have address</w:t>
      </w:r>
      <w:r w:rsidR="00124601">
        <w:t>ed</w:t>
      </w:r>
      <w:r w:rsidR="008D499F">
        <w:t xml:space="preserve"> </w:t>
      </w:r>
      <w:r w:rsidR="00BA473C">
        <w:t>s</w:t>
      </w:r>
      <w:r w:rsidR="00ED6351" w:rsidRPr="00702286">
        <w:t>tructural barrier</w:t>
      </w:r>
      <w:r w:rsidR="00BA473C">
        <w:t>s</w:t>
      </w:r>
      <w:r w:rsidR="00ED6351" w:rsidRPr="00702286">
        <w:t xml:space="preserve"> </w:t>
      </w:r>
      <w:r w:rsidR="005605CA">
        <w:t>while</w:t>
      </w:r>
      <w:r w:rsidR="00BA473C">
        <w:t xml:space="preserve"> the </w:t>
      </w:r>
      <w:proofErr w:type="spellStart"/>
      <w:r w:rsidR="00BA473C" w:rsidRPr="00702286">
        <w:t>GenderSAFE</w:t>
      </w:r>
      <w:proofErr w:type="spellEnd"/>
      <w:r w:rsidR="00BA473C">
        <w:rPr>
          <w:rStyle w:val="FootnoteReference"/>
        </w:rPr>
        <w:footnoteReference w:id="6"/>
      </w:r>
      <w:r w:rsidR="00BA473C">
        <w:t xml:space="preserve"> initiative</w:t>
      </w:r>
      <w:r w:rsidR="005605CA">
        <w:t xml:space="preserve"> </w:t>
      </w:r>
      <w:r w:rsidR="00ED6351">
        <w:t>through</w:t>
      </w:r>
      <w:r w:rsidR="00ED6351" w:rsidRPr="00702286">
        <w:t xml:space="preserve"> </w:t>
      </w:r>
      <w:r>
        <w:t>by</w:t>
      </w:r>
      <w:r w:rsidR="00ED6351">
        <w:t>-</w:t>
      </w:r>
      <w:r>
        <w:t>stander training</w:t>
      </w:r>
      <w:r w:rsidR="00BA473C">
        <w:t xml:space="preserve"> explore cultural barriers. </w:t>
      </w:r>
      <w:r w:rsidR="00ED6351" w:rsidRPr="00702286">
        <w:t>In addition, programmes such as the Inter-Parliamentary Union's WYDE</w:t>
      </w:r>
      <w:r w:rsidR="00ED6351">
        <w:rPr>
          <w:rStyle w:val="FootnoteReference"/>
        </w:rPr>
        <w:footnoteReference w:id="7"/>
      </w:r>
      <w:r w:rsidR="00ED6351" w:rsidRPr="00702286">
        <w:t xml:space="preserve"> initiative have </w:t>
      </w:r>
      <w:proofErr w:type="gramStart"/>
      <w:r w:rsidR="0034141D">
        <w:t>opened up</w:t>
      </w:r>
      <w:proofErr w:type="gramEnd"/>
      <w:r w:rsidR="00ED6351" w:rsidRPr="00702286">
        <w:t xml:space="preserve"> mentorship and opportunities, supporting women's pathways into leadership and decision-making roles.</w:t>
      </w:r>
      <w:r w:rsidR="0019324B">
        <w:t xml:space="preserve"> </w:t>
      </w:r>
      <w:r w:rsidR="0019324B" w:rsidRPr="0019324B">
        <w:t xml:space="preserve">Promising practice can </w:t>
      </w:r>
      <w:r w:rsidR="0019324B">
        <w:t xml:space="preserve">also be </w:t>
      </w:r>
      <w:r w:rsidR="0019324B" w:rsidRPr="0019324B">
        <w:t xml:space="preserve">seen in Uzbekistan, where the government has developed a database of prospective female leaders. </w:t>
      </w:r>
      <w:r w:rsidR="00591FFB">
        <w:t>This</w:t>
      </w:r>
      <w:r w:rsidR="0019324B" w:rsidRPr="0019324B">
        <w:t xml:space="preserve"> systematic identif</w:t>
      </w:r>
      <w:r w:rsidR="00591FFB">
        <w:t>ication</w:t>
      </w:r>
      <w:r w:rsidR="0019324B" w:rsidRPr="0019324B">
        <w:t xml:space="preserve"> </w:t>
      </w:r>
      <w:r w:rsidR="00591FFB">
        <w:t xml:space="preserve">of </w:t>
      </w:r>
      <w:r w:rsidR="0019324B" w:rsidRPr="0019324B">
        <w:t>leadership talent strengthen</w:t>
      </w:r>
      <w:r w:rsidR="00591FFB">
        <w:t>s</w:t>
      </w:r>
      <w:r w:rsidR="0019324B" w:rsidRPr="0019324B">
        <w:t xml:space="preserve"> the pipeline of women progressing into senior decision-making and leadership roles.</w:t>
      </w:r>
      <w:r w:rsidR="00591FFB">
        <w:rPr>
          <w:rStyle w:val="FootnoteReference"/>
        </w:rPr>
        <w:footnoteReference w:id="8"/>
      </w:r>
    </w:p>
    <w:p w14:paraId="7656DA89" w14:textId="77777777" w:rsidR="007F4CE8" w:rsidRDefault="007F4CE8" w:rsidP="00702286"/>
    <w:p w14:paraId="1BF58097" w14:textId="18704A49" w:rsidR="007F4CE8" w:rsidRPr="007F4CE8" w:rsidRDefault="007F4CE8" w:rsidP="00702286">
      <w:pPr>
        <w:rPr>
          <w:b/>
          <w:bCs/>
          <w:u w:val="single"/>
        </w:rPr>
      </w:pPr>
      <w:r w:rsidRPr="007F4CE8">
        <w:rPr>
          <w:b/>
          <w:bCs/>
          <w:u w:val="single"/>
        </w:rPr>
        <w:t xml:space="preserve">Gaps </w:t>
      </w:r>
    </w:p>
    <w:p w14:paraId="3F9CC7CB" w14:textId="264301F4" w:rsidR="00A90AD1" w:rsidRDefault="00A90AD1" w:rsidP="00702286">
      <w:r w:rsidRPr="00A90AD1">
        <w:t xml:space="preserve">In </w:t>
      </w:r>
      <w:r>
        <w:t>the majority of</w:t>
      </w:r>
      <w:r w:rsidRPr="00A90AD1">
        <w:t xml:space="preserve"> </w:t>
      </w:r>
      <w:r w:rsidR="00A45CF0">
        <w:t xml:space="preserve">UNECE </w:t>
      </w:r>
      <w:r w:rsidRPr="00A90AD1">
        <w:t>countries, women have surpassed men in educational attainment</w:t>
      </w:r>
      <w:r>
        <w:rPr>
          <w:rStyle w:val="FootnoteReference"/>
        </w:rPr>
        <w:footnoteReference w:id="9"/>
      </w:r>
      <w:r w:rsidRPr="00A90AD1">
        <w:t xml:space="preserve">, yet these educational gains are not reflected in women's representation in positions of power and decision-making. Rules and participation assumptions </w:t>
      </w:r>
      <w:r w:rsidR="00024627">
        <w:t>can</w:t>
      </w:r>
      <w:r w:rsidRPr="00A90AD1">
        <w:t xml:space="preserve"> unintentionally reproduce unequal access to leadership and decision making</w:t>
      </w:r>
      <w:r w:rsidR="00940530">
        <w:t xml:space="preserve">. This </w:t>
      </w:r>
      <w:r w:rsidRPr="00A90AD1">
        <w:t>statement encourages organisations to support women not only to participate within institutions, but in shaping the rules and structures governing those institutions. For example, women are disproportionately primary caregivers, the expansion of proxy voting in the UK remove</w:t>
      </w:r>
      <w:r>
        <w:t>d some</w:t>
      </w:r>
      <w:r w:rsidRPr="00A90AD1">
        <w:t xml:space="preserve"> practical barriers for women in parliamentary power.</w:t>
      </w:r>
      <w:r>
        <w:rPr>
          <w:rStyle w:val="FootnoteReference"/>
        </w:rPr>
        <w:footnoteReference w:id="10"/>
      </w:r>
    </w:p>
    <w:p w14:paraId="199C402E" w14:textId="0DEFF2DB" w:rsidR="00F63D3C" w:rsidRDefault="00A90AD1" w:rsidP="00702286">
      <w:r w:rsidRPr="00A90AD1">
        <w:t xml:space="preserve">The IPU-UN </w:t>
      </w:r>
      <w:r w:rsidRPr="00A90AD1">
        <w:rPr>
          <w:i/>
          <w:iCs/>
        </w:rPr>
        <w:t>Women in Politics: 2026</w:t>
      </w:r>
      <w:r w:rsidRPr="00A90AD1">
        <w:t xml:space="preserve"> map</w:t>
      </w:r>
      <w:r>
        <w:rPr>
          <w:rStyle w:val="FootnoteReference"/>
        </w:rPr>
        <w:footnoteReference w:id="11"/>
      </w:r>
      <w:r w:rsidRPr="00A90AD1">
        <w:t xml:space="preserve"> highlight</w:t>
      </w:r>
      <w:r w:rsidR="00D0685A">
        <w:t xml:space="preserve">s </w:t>
      </w:r>
      <w:r w:rsidRPr="00A90AD1">
        <w:t>gender imbalance</w:t>
      </w:r>
      <w:r w:rsidR="00D0685A">
        <w:t>s</w:t>
      </w:r>
      <w:r w:rsidRPr="00A90AD1">
        <w:t xml:space="preserve"> in ministerial leadership. Women remain significantly underrepresented in economic and strategic </w:t>
      </w:r>
      <w:r w:rsidRPr="00A90AD1">
        <w:lastRenderedPageBreak/>
        <w:t>portfolios, holding 10% of transport, 12% of defence and energy, and 17% of commerce, and trade po</w:t>
      </w:r>
      <w:r w:rsidR="00720C9A">
        <w:t>rtfolios</w:t>
      </w:r>
      <w:r w:rsidRPr="00A90AD1">
        <w:t xml:space="preserve">. In contrast, women are disproportionately </w:t>
      </w:r>
      <w:r w:rsidR="00A80230">
        <w:t>manag</w:t>
      </w:r>
      <w:r w:rsidR="00E15996">
        <w:t>ing</w:t>
      </w:r>
      <w:r w:rsidR="00A80230">
        <w:t xml:space="preserve"> </w:t>
      </w:r>
      <w:r w:rsidRPr="00A90AD1">
        <w:t>portfolios traditionally associated with gendered social responsibilities</w:t>
      </w:r>
      <w:r w:rsidR="002458C4">
        <w:t xml:space="preserve">; </w:t>
      </w:r>
      <w:r w:rsidRPr="00A90AD1">
        <w:t>90% of remits focused on women and gender equality and 73% for family and children’s affairs. This disparity underscores the ongoing need to advance women's equal participation across all areas.</w:t>
      </w:r>
    </w:p>
    <w:p w14:paraId="1F82304E" w14:textId="2F89F9B4" w:rsidR="003405CF" w:rsidRDefault="00F131A5" w:rsidP="003405CF">
      <w:r w:rsidRPr="00F131A5">
        <w:t xml:space="preserve">Outside the political sphere, </w:t>
      </w:r>
      <w:r w:rsidR="00ED56AC">
        <w:t>w</w:t>
      </w:r>
      <w:r w:rsidRPr="00F131A5">
        <w:t>omen report being expected to undertake administrative and relationship-management tasks, such as taking minutes, and coordinating workplace activities</w:t>
      </w:r>
      <w:r>
        <w:rPr>
          <w:rStyle w:val="FootnoteReference"/>
        </w:rPr>
        <w:footnoteReference w:id="12"/>
      </w:r>
      <w:r w:rsidRPr="00F131A5">
        <w:t xml:space="preserve">. </w:t>
      </w:r>
      <w:r>
        <w:t>S</w:t>
      </w:r>
      <w:r w:rsidRPr="00F131A5">
        <w:t>cholars describe this as "doing gender"</w:t>
      </w:r>
      <w:r>
        <w:rPr>
          <w:rStyle w:val="FootnoteReference"/>
        </w:rPr>
        <w:footnoteReference w:id="13"/>
      </w:r>
      <w:r w:rsidR="00260C96">
        <w:t xml:space="preserve"> which c</w:t>
      </w:r>
      <w:r w:rsidRPr="00F131A5">
        <w:t xml:space="preserve">ontributes to occupational segregation, with functions </w:t>
      </w:r>
      <w:r w:rsidR="00BA28CF">
        <w:t xml:space="preserve">like </w:t>
      </w:r>
      <w:r w:rsidRPr="00F131A5">
        <w:t>Human Resources viewed as feminine</w:t>
      </w:r>
      <w:r w:rsidR="008A07C4">
        <w:t xml:space="preserve"> and </w:t>
      </w:r>
      <w:r w:rsidRPr="00F131A5">
        <w:t>operations regarded as masculin</w:t>
      </w:r>
      <w:r w:rsidR="00BE72E4">
        <w:t>e</w:t>
      </w:r>
      <w:r w:rsidRPr="00F131A5">
        <w:t>.</w:t>
      </w:r>
      <w:r>
        <w:rPr>
          <w:rStyle w:val="FootnoteReference"/>
        </w:rPr>
        <w:footnoteReference w:id="14"/>
      </w:r>
      <w:r>
        <w:rPr>
          <w:rStyle w:val="FootnoteReference"/>
        </w:rPr>
        <w:footnoteReference w:id="15"/>
      </w:r>
      <w:r w:rsidR="003405CF">
        <w:t xml:space="preserve"> </w:t>
      </w:r>
      <w:r w:rsidR="00260C96" w:rsidRPr="00260C96">
        <w:t>Deep</w:t>
      </w:r>
      <w:r w:rsidR="008A07C4">
        <w:t xml:space="preserve"> </w:t>
      </w:r>
      <w:r w:rsidR="00260C96" w:rsidRPr="00260C96">
        <w:t>gender stereotypes persist, with Uzbekistan lifting restrictions on women working as bus and heavy truck drivers only in February 2024</w:t>
      </w:r>
      <w:r w:rsidR="003405CF" w:rsidRPr="003405CF">
        <w:t>.</w:t>
      </w:r>
      <w:r w:rsidR="00101E42">
        <w:rPr>
          <w:rStyle w:val="FootnoteReference"/>
        </w:rPr>
        <w:footnoteReference w:id="16"/>
      </w:r>
    </w:p>
    <w:p w14:paraId="414A55D6" w14:textId="46A35DB7" w:rsidR="009F287E" w:rsidRPr="009F287E" w:rsidRDefault="009F287E" w:rsidP="009F287E">
      <w:r w:rsidRPr="009F287E">
        <w:t xml:space="preserve">Limited access to mentorship </w:t>
      </w:r>
      <w:r w:rsidR="00D51590">
        <w:t xml:space="preserve">also </w:t>
      </w:r>
      <w:r w:rsidRPr="009F287E">
        <w:t>constrain</w:t>
      </w:r>
      <w:r w:rsidR="00D51590">
        <w:t xml:space="preserve">s </w:t>
      </w:r>
      <w:r w:rsidRPr="009F287E">
        <w:t xml:space="preserve">women's advancement. </w:t>
      </w:r>
      <w:r w:rsidR="008A07C4">
        <w:t xml:space="preserve">The </w:t>
      </w:r>
      <w:r w:rsidRPr="009F287E">
        <w:t>revenue sector</w:t>
      </w:r>
      <w:r w:rsidR="00D8706C">
        <w:t xml:space="preserve"> </w:t>
      </w:r>
      <w:r w:rsidRPr="009F287E">
        <w:t>found that 69% of women lacked a mentor, despite 77% identifying mentorship as valuabl</w:t>
      </w:r>
      <w:r w:rsidR="00A04FB8">
        <w:t>e</w:t>
      </w:r>
      <w:r w:rsidRPr="009F287E">
        <w:t>. This gap suggests that women face barriers in obtaining the professional guidance</w:t>
      </w:r>
      <w:r w:rsidR="00D8706C">
        <w:t xml:space="preserve"> to</w:t>
      </w:r>
      <w:r w:rsidRPr="009F287E">
        <w:t xml:space="preserve"> facilitate progression into</w:t>
      </w:r>
      <w:r w:rsidR="00BC23A1">
        <w:t xml:space="preserve"> senior </w:t>
      </w:r>
      <w:r w:rsidRPr="009F287E">
        <w:t>roles.</w:t>
      </w:r>
      <w:r w:rsidR="001C4E84">
        <w:rPr>
          <w:rStyle w:val="FootnoteReference"/>
        </w:rPr>
        <w:footnoteReference w:id="17"/>
      </w:r>
    </w:p>
    <w:p w14:paraId="3A8E6FC7" w14:textId="77777777" w:rsidR="009F287E" w:rsidRDefault="009F287E" w:rsidP="003405CF"/>
    <w:p w14:paraId="0A24F193" w14:textId="1AD4BD2C" w:rsidR="001C4E84" w:rsidRPr="001C4E84" w:rsidRDefault="001C4E84" w:rsidP="003405CF">
      <w:pPr>
        <w:rPr>
          <w:b/>
          <w:bCs/>
          <w:u w:val="single"/>
        </w:rPr>
      </w:pPr>
      <w:r w:rsidRPr="001C4E84">
        <w:rPr>
          <w:b/>
          <w:bCs/>
          <w:u w:val="single"/>
        </w:rPr>
        <w:t>Challenges</w:t>
      </w:r>
    </w:p>
    <w:p w14:paraId="756BFB27" w14:textId="0559CF9E" w:rsidR="001C4E84" w:rsidRDefault="00C63B8A" w:rsidP="003405CF">
      <w:r w:rsidRPr="00C63B8A">
        <w:t xml:space="preserve">With the rise of far-right political parties </w:t>
      </w:r>
      <w:r w:rsidR="00F123A9">
        <w:t xml:space="preserve">with </w:t>
      </w:r>
      <w:r w:rsidRPr="00C63B8A">
        <w:t xml:space="preserve">anti-immigrant rhetoric in Europe, it is important to recognise the additional barriers that women </w:t>
      </w:r>
      <w:r w:rsidR="005F624D">
        <w:t>of colour</w:t>
      </w:r>
      <w:r w:rsidR="00DB6CBC">
        <w:t xml:space="preserve"> </w:t>
      </w:r>
      <w:r w:rsidRPr="00C63B8A">
        <w:t>may face in pursuing leadership roles, as elected representatives</w:t>
      </w:r>
      <w:r w:rsidR="00780081">
        <w:t xml:space="preserve">, </w:t>
      </w:r>
      <w:r w:rsidRPr="00C63B8A">
        <w:t>public</w:t>
      </w:r>
      <w:r w:rsidR="00780081">
        <w:t xml:space="preserve"> or corporate</w:t>
      </w:r>
      <w:r w:rsidRPr="00C63B8A">
        <w:t xml:space="preserve"> officials. Hostile political discourse, discrimination, and perceptions of exclusion can create environments in which some women </w:t>
      </w:r>
      <w:r w:rsidR="000A24C7">
        <w:t xml:space="preserve">are </w:t>
      </w:r>
      <w:r w:rsidRPr="00C63B8A">
        <w:t>less able to participate</w:t>
      </w:r>
      <w:r w:rsidR="00526E91">
        <w:rPr>
          <w:rStyle w:val="FootnoteReference"/>
        </w:rPr>
        <w:footnoteReference w:id="18"/>
      </w:r>
      <w:r w:rsidR="00702E1C">
        <w:rPr>
          <w:rStyle w:val="FootnoteReference"/>
        </w:rPr>
        <w:footnoteReference w:id="19"/>
      </w:r>
      <w:r w:rsidR="001D34E7">
        <w:t>.</w:t>
      </w:r>
      <w:r w:rsidRPr="00C63B8A">
        <w:t xml:space="preserve"> Progress in women's </w:t>
      </w:r>
      <w:r w:rsidR="003A45DA">
        <w:t xml:space="preserve">power </w:t>
      </w:r>
      <w:r w:rsidRPr="00C63B8A">
        <w:t>should therefore be assessed through institutional resilienc</w:t>
      </w:r>
      <w:r w:rsidR="00DE11FE">
        <w:t>e,</w:t>
      </w:r>
      <w:r w:rsidRPr="00C63B8A">
        <w:t xml:space="preserve"> examining whether women's positions of authority </w:t>
      </w:r>
      <w:r w:rsidR="00DE11FE">
        <w:t xml:space="preserve">are </w:t>
      </w:r>
      <w:r w:rsidRPr="00C63B8A">
        <w:t>sustained during periods of political change, and whether gains in representation are maintained regardless of shifts in political or institutional leadership.</w:t>
      </w:r>
    </w:p>
    <w:p w14:paraId="5BD161C5" w14:textId="0B6612CE" w:rsidR="00B42D5F" w:rsidRDefault="00B42D5F" w:rsidP="00B42D5F">
      <w:r w:rsidRPr="00B42D5F">
        <w:t>Women</w:t>
      </w:r>
      <w:r>
        <w:t xml:space="preserve"> face barriers </w:t>
      </w:r>
      <w:r w:rsidR="00B87F65">
        <w:t>in</w:t>
      </w:r>
      <w:r w:rsidR="00B87F65" w:rsidRPr="00B42D5F">
        <w:t xml:space="preserve"> securing investment and growth capital</w:t>
      </w:r>
      <w:r w:rsidR="00C31C62">
        <w:t>, restricting their ability to</w:t>
      </w:r>
      <w:r w:rsidR="00CA307B">
        <w:t xml:space="preserve"> start,</w:t>
      </w:r>
      <w:r w:rsidR="00C31C62">
        <w:t xml:space="preserve"> </w:t>
      </w:r>
      <w:r w:rsidR="00C31C62" w:rsidRPr="00C31C62">
        <w:t>scale</w:t>
      </w:r>
      <w:r w:rsidR="00CA307B">
        <w:t>,</w:t>
      </w:r>
      <w:r w:rsidR="00C31C62" w:rsidRPr="00C31C62">
        <w:t xml:space="preserve"> and retain control of businesses.</w:t>
      </w:r>
      <w:r w:rsidR="00C31C62">
        <w:t xml:space="preserve"> </w:t>
      </w:r>
      <w:r w:rsidRPr="00B42D5F">
        <w:t xml:space="preserve">Entrepreneurship can provide a direct </w:t>
      </w:r>
      <w:r w:rsidRPr="00B42D5F">
        <w:lastRenderedPageBreak/>
        <w:t>pathway to</w:t>
      </w:r>
      <w:r w:rsidR="00CA307B">
        <w:t xml:space="preserve"> </w:t>
      </w:r>
      <w:r w:rsidR="00B87F65">
        <w:t xml:space="preserve">power and </w:t>
      </w:r>
      <w:r w:rsidRPr="00B42D5F">
        <w:t xml:space="preserve">leadership; </w:t>
      </w:r>
      <w:proofErr w:type="gramStart"/>
      <w:r w:rsidR="00B87F65">
        <w:t>however</w:t>
      </w:r>
      <w:proofErr w:type="gramEnd"/>
      <w:r w:rsidR="00B87F65">
        <w:t xml:space="preserve"> </w:t>
      </w:r>
      <w:r w:rsidRPr="00B42D5F">
        <w:t xml:space="preserve">finance </w:t>
      </w:r>
      <w:r w:rsidR="00B87F65">
        <w:t>is</w:t>
      </w:r>
      <w:r w:rsidRPr="00B42D5F">
        <w:t xml:space="preserve"> a persistent challenge</w:t>
      </w:r>
      <w:r w:rsidR="00B87F65">
        <w:t>. I</w:t>
      </w:r>
      <w:r w:rsidRPr="00B42D5F">
        <w:t>n Sweden</w:t>
      </w:r>
      <w:r w:rsidR="00B87F65">
        <w:t>,</w:t>
      </w:r>
      <w:r w:rsidRPr="00B42D5F">
        <w:t xml:space="preserve"> less than 1% of venture capital funding is directed to women entrepreneurs</w:t>
      </w:r>
      <w:r w:rsidR="00E61A25">
        <w:rPr>
          <w:rStyle w:val="FootnoteReference"/>
        </w:rPr>
        <w:footnoteReference w:id="20"/>
      </w:r>
      <w:r w:rsidRPr="00B42D5F">
        <w:t xml:space="preserve">. </w:t>
      </w:r>
    </w:p>
    <w:p w14:paraId="36479D94" w14:textId="77777777" w:rsidR="00DF52AD" w:rsidRPr="00B42D5F" w:rsidRDefault="00DF52AD" w:rsidP="00B42D5F"/>
    <w:p w14:paraId="1E149AEC" w14:textId="2F56F174" w:rsidR="00B42D5F" w:rsidRPr="0021205C" w:rsidRDefault="0021205C" w:rsidP="003405CF">
      <w:pPr>
        <w:rPr>
          <w:b/>
          <w:bCs/>
          <w:u w:val="single"/>
        </w:rPr>
      </w:pPr>
      <w:r w:rsidRPr="0021205C">
        <w:rPr>
          <w:b/>
          <w:bCs/>
          <w:u w:val="single"/>
        </w:rPr>
        <w:t>Looking Forward</w:t>
      </w:r>
    </w:p>
    <w:p w14:paraId="5438C90D" w14:textId="77777777" w:rsidR="0066238D" w:rsidRPr="0066238D" w:rsidRDefault="0066238D" w:rsidP="002A56E8">
      <w:pPr>
        <w:rPr>
          <w:u w:val="single"/>
        </w:rPr>
      </w:pPr>
      <w:r w:rsidRPr="0066238D">
        <w:rPr>
          <w:u w:val="single"/>
        </w:rPr>
        <w:t>Short Term</w:t>
      </w:r>
    </w:p>
    <w:p w14:paraId="093DC04C" w14:textId="2D6AC84F" w:rsidR="002A56E8" w:rsidRDefault="002A56E8" w:rsidP="002A56E8">
      <w:r w:rsidRPr="002A56E8">
        <w:t>Member States should create conditions to ensure the full, equal, meaningful and effective participation of women in security, defence</w:t>
      </w:r>
      <w:r w:rsidR="003E3613">
        <w:t xml:space="preserve"> and </w:t>
      </w:r>
      <w:r w:rsidRPr="002A56E8">
        <w:t>peacebuilding processes, including within relevant cabinet portfolios and leadership positions, recognising that women's participation in peace processes contributes to more durable and sustainable peace outcomes</w:t>
      </w:r>
      <w:r w:rsidR="00450AA2">
        <w:rPr>
          <w:rStyle w:val="FootnoteReference"/>
        </w:rPr>
        <w:footnoteReference w:id="21"/>
      </w:r>
      <w:r w:rsidRPr="002A56E8">
        <w:t>.</w:t>
      </w:r>
    </w:p>
    <w:p w14:paraId="563AE904" w14:textId="7B6B0366" w:rsidR="00206215" w:rsidRDefault="00206215" w:rsidP="002A56E8">
      <w:r w:rsidRPr="00206215">
        <w:t>Recogni</w:t>
      </w:r>
      <w:r>
        <w:t>s</w:t>
      </w:r>
      <w:r w:rsidRPr="00206215">
        <w:t>ing that access to and control over financial resources constitute an important dimension of decision-making power, Member States are encouraged to create an enabling environment that supports the equitable allocation of venture capital and private investment to women-owned and women-led enterprises, including by promoting gender-responsive investment practices</w:t>
      </w:r>
      <w:r>
        <w:t xml:space="preserve"> </w:t>
      </w:r>
      <w:r w:rsidRPr="00206215">
        <w:t>and addressing discriminatory norms</w:t>
      </w:r>
      <w:r>
        <w:t xml:space="preserve"> </w:t>
      </w:r>
      <w:r w:rsidRPr="00206215">
        <w:t>and structural barriers that limit women's access to finance, assets and economic opportunities.</w:t>
      </w:r>
    </w:p>
    <w:p w14:paraId="25667EAB" w14:textId="5CF6D51E" w:rsidR="0066238D" w:rsidRDefault="0066238D" w:rsidP="0066238D">
      <w:r w:rsidRPr="0066238D">
        <w:t>Member States should adopt and enforce gender-responsive regulatory and safeguarding measures requiring digital platforms to a</w:t>
      </w:r>
      <w:r>
        <w:t>udit</w:t>
      </w:r>
      <w:r w:rsidRPr="0066238D">
        <w:t xml:space="preserve">, monitor and address algorithmic bias and the dissemination of harmful or extremist content that incites or normalises violence against women and girls, perpetuates their dehumanisation, </w:t>
      </w:r>
      <w:r w:rsidR="008E1D95">
        <w:t xml:space="preserve">or </w:t>
      </w:r>
      <w:r w:rsidRPr="0066238D">
        <w:t>reinforces discriminatory stereotypes.</w:t>
      </w:r>
    </w:p>
    <w:p w14:paraId="4E5442AA" w14:textId="660492AD" w:rsidR="00752FD5" w:rsidRDefault="00752FD5" w:rsidP="00752FD5">
      <w:r w:rsidRPr="00752FD5">
        <w:t>Member States should also take measures to ensure women's</w:t>
      </w:r>
      <w:r w:rsidR="00132719">
        <w:t xml:space="preserve"> equal</w:t>
      </w:r>
      <w:r w:rsidRPr="00752FD5">
        <w:t xml:space="preserve"> </w:t>
      </w:r>
      <w:r w:rsidR="009B0D59">
        <w:t>representation in the</w:t>
      </w:r>
      <w:r w:rsidRPr="00752FD5">
        <w:t xml:space="preserve"> design, develop</w:t>
      </w:r>
      <w:r w:rsidR="00132719">
        <w:t>ment</w:t>
      </w:r>
      <w:r w:rsidRPr="00752FD5">
        <w:t>, fund</w:t>
      </w:r>
      <w:r w:rsidR="00132719">
        <w:t>ing</w:t>
      </w:r>
      <w:r w:rsidRPr="00752FD5">
        <w:t>, regulat</w:t>
      </w:r>
      <w:r w:rsidR="00132719">
        <w:t>ion</w:t>
      </w:r>
      <w:r w:rsidRPr="00752FD5">
        <w:t>, govern</w:t>
      </w:r>
      <w:r w:rsidR="00132719">
        <w:t>ance</w:t>
      </w:r>
      <w:r w:rsidRPr="00752FD5">
        <w:t>, and deploy</w:t>
      </w:r>
      <w:r w:rsidR="00132719">
        <w:t>ment of</w:t>
      </w:r>
      <w:r w:rsidRPr="00752FD5">
        <w:t xml:space="preserve"> </w:t>
      </w:r>
      <w:r w:rsidR="002F3031">
        <w:t>artificial intelligence</w:t>
      </w:r>
      <w:r w:rsidR="00A261E0">
        <w:t xml:space="preserve">, </w:t>
      </w:r>
      <w:r w:rsidRPr="00752FD5">
        <w:t>recognising that inclusive innovation is essential to preventing bias</w:t>
      </w:r>
      <w:r w:rsidR="00650E68">
        <w:t>.</w:t>
      </w:r>
    </w:p>
    <w:p w14:paraId="0DD94D00" w14:textId="3B4B148B" w:rsidR="00752FD5" w:rsidRDefault="0057062A" w:rsidP="0066238D">
      <w:r w:rsidRPr="0057062A">
        <w:t xml:space="preserve">Member States should promote the development of sustainable leadership pipelines for women across government, business, political institutions, and the technology sector. This should include formal mechanisms for mentoring, leadership development, skills training, equitable recruitment, talent identification, succession planning, and promotion into senior decision-making roles. </w:t>
      </w:r>
    </w:p>
    <w:p w14:paraId="24414472" w14:textId="523F0F6D" w:rsidR="0066238D" w:rsidRPr="0066238D" w:rsidRDefault="0066238D" w:rsidP="0066238D">
      <w:pPr>
        <w:rPr>
          <w:u w:val="single"/>
        </w:rPr>
      </w:pPr>
      <w:r w:rsidRPr="0066238D">
        <w:rPr>
          <w:u w:val="single"/>
        </w:rPr>
        <w:t>Long Term</w:t>
      </w:r>
    </w:p>
    <w:p w14:paraId="3C4935A7" w14:textId="7BE28C72" w:rsidR="0066238D" w:rsidRDefault="0066238D" w:rsidP="002A56E8">
      <w:r>
        <w:t xml:space="preserve">The relevant member states </w:t>
      </w:r>
      <w:r w:rsidRPr="0021205C">
        <w:t xml:space="preserve">should, when the institutional and political context permits, consider drawing on the visibility of the future reigning queens of Spain, </w:t>
      </w:r>
      <w:r w:rsidRPr="0021205C">
        <w:lastRenderedPageBreak/>
        <w:t>Sweden, the Netherlands, Norway and Belgium</w:t>
      </w:r>
      <w:r>
        <w:rPr>
          <w:rStyle w:val="FootnoteReference"/>
        </w:rPr>
        <w:footnoteReference w:id="22"/>
      </w:r>
      <w:r w:rsidRPr="0021205C">
        <w:t xml:space="preserve"> to promote a positive, </w:t>
      </w:r>
      <w:r>
        <w:t>capable,</w:t>
      </w:r>
      <w:r w:rsidRPr="0021205C">
        <w:t xml:space="preserve"> and aspirational image of women and girls. Through their symbolic role and public reach, these figures could help challenge gender stereotypes, highlight women’s skills and achievements, and support a lasting shift in social norms towards equality.</w:t>
      </w:r>
    </w:p>
    <w:p w14:paraId="10D2DC99" w14:textId="77777777" w:rsidR="00450AA2" w:rsidRPr="002A56E8" w:rsidRDefault="00450AA2" w:rsidP="002A56E8"/>
    <w:p w14:paraId="6F44BBD2" w14:textId="77777777" w:rsidR="00702286" w:rsidRDefault="00702286"/>
    <w:sectPr w:rsidR="0070228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D89A1" w14:textId="77777777" w:rsidR="00D916AB" w:rsidRDefault="00D916AB" w:rsidP="00ED6351">
      <w:pPr>
        <w:spacing w:after="0" w:line="240" w:lineRule="auto"/>
      </w:pPr>
      <w:r>
        <w:separator/>
      </w:r>
    </w:p>
  </w:endnote>
  <w:endnote w:type="continuationSeparator" w:id="0">
    <w:p w14:paraId="3648CC48" w14:textId="77777777" w:rsidR="00D916AB" w:rsidRDefault="00D916AB" w:rsidP="00ED63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A54CA" w14:textId="77777777" w:rsidR="00D916AB" w:rsidRDefault="00D916AB" w:rsidP="00ED6351">
      <w:pPr>
        <w:spacing w:after="0" w:line="240" w:lineRule="auto"/>
      </w:pPr>
      <w:r>
        <w:separator/>
      </w:r>
    </w:p>
  </w:footnote>
  <w:footnote w:type="continuationSeparator" w:id="0">
    <w:p w14:paraId="41F31B32" w14:textId="77777777" w:rsidR="00D916AB" w:rsidRDefault="00D916AB" w:rsidP="00ED6351">
      <w:pPr>
        <w:spacing w:after="0" w:line="240" w:lineRule="auto"/>
      </w:pPr>
      <w:r>
        <w:continuationSeparator/>
      </w:r>
    </w:p>
  </w:footnote>
  <w:footnote w:id="1">
    <w:p w14:paraId="4B5CF2B4" w14:textId="7F6BF671" w:rsidR="00ED6351" w:rsidRDefault="00ED6351">
      <w:pPr>
        <w:pStyle w:val="FootnoteText"/>
      </w:pPr>
      <w:r>
        <w:rPr>
          <w:rStyle w:val="FootnoteReference"/>
        </w:rPr>
        <w:footnoteRef/>
      </w:r>
      <w:r>
        <w:t xml:space="preserve"> </w:t>
      </w:r>
      <w:hyperlink r:id="rId1" w:history="1">
        <w:r w:rsidRPr="00ED6351">
          <w:rPr>
            <w:rStyle w:val="Hyperlink"/>
          </w:rPr>
          <w:t xml:space="preserve">The gender </w:t>
        </w:r>
        <w:proofErr w:type="gramStart"/>
        <w:r w:rsidRPr="00ED6351">
          <w:rPr>
            <w:rStyle w:val="Hyperlink"/>
          </w:rPr>
          <w:t>pay</w:t>
        </w:r>
        <w:proofErr w:type="gramEnd"/>
        <w:r w:rsidRPr="00ED6351">
          <w:rPr>
            <w:rStyle w:val="Hyperlink"/>
          </w:rPr>
          <w:t xml:space="preserve"> gap situation in the EU - European Commission</w:t>
        </w:r>
      </w:hyperlink>
    </w:p>
  </w:footnote>
  <w:footnote w:id="2">
    <w:p w14:paraId="0E7D5DA6" w14:textId="6A3D84F1" w:rsidR="00EF2A07" w:rsidRDefault="00EF2A07">
      <w:pPr>
        <w:pStyle w:val="FootnoteText"/>
      </w:pPr>
      <w:r>
        <w:rPr>
          <w:rStyle w:val="FootnoteReference"/>
        </w:rPr>
        <w:footnoteRef/>
      </w:r>
      <w:r>
        <w:t xml:space="preserve"> </w:t>
      </w:r>
      <w:hyperlink r:id="rId2" w:history="1">
        <w:r w:rsidRPr="00EF2A07">
          <w:rPr>
            <w:rStyle w:val="Hyperlink"/>
          </w:rPr>
          <w:t>GENDER POLICY IN UZBEKISTAN - Embassy of the Republic of Uzbekistan in the United Kingdom of Great Britain and Northern Ireland</w:t>
        </w:r>
      </w:hyperlink>
    </w:p>
  </w:footnote>
  <w:footnote w:id="3">
    <w:p w14:paraId="5D0B0C30" w14:textId="58A39551" w:rsidR="00ED6351" w:rsidRDefault="00ED6351">
      <w:pPr>
        <w:pStyle w:val="FootnoteText"/>
      </w:pPr>
      <w:r>
        <w:rPr>
          <w:rStyle w:val="FootnoteReference"/>
        </w:rPr>
        <w:footnoteRef/>
      </w:r>
      <w:r>
        <w:t xml:space="preserve"> </w:t>
      </w:r>
      <w:hyperlink r:id="rId3" w:history="1">
        <w:r w:rsidRPr="00ED6351">
          <w:rPr>
            <w:rStyle w:val="Hyperlink"/>
          </w:rPr>
          <w:t xml:space="preserve">A friendly network helping women progress in politics - 50:50 </w:t>
        </w:r>
        <w:proofErr w:type="gramStart"/>
        <w:r w:rsidRPr="00ED6351">
          <w:rPr>
            <w:rStyle w:val="Hyperlink"/>
          </w:rPr>
          <w:t>Parliament :</w:t>
        </w:r>
        <w:proofErr w:type="gramEnd"/>
        <w:r w:rsidRPr="00ED6351">
          <w:rPr>
            <w:rStyle w:val="Hyperlink"/>
          </w:rPr>
          <w:t xml:space="preserve"> 50:50 Parliament</w:t>
        </w:r>
      </w:hyperlink>
    </w:p>
  </w:footnote>
  <w:footnote w:id="4">
    <w:p w14:paraId="23A985B6" w14:textId="2321676D" w:rsidR="00ED6351" w:rsidRDefault="00ED6351">
      <w:pPr>
        <w:pStyle w:val="FootnoteText"/>
      </w:pPr>
      <w:r>
        <w:rPr>
          <w:rStyle w:val="FootnoteReference"/>
        </w:rPr>
        <w:footnoteRef/>
      </w:r>
      <w:r>
        <w:t xml:space="preserve"> </w:t>
      </w:r>
      <w:hyperlink r:id="rId4" w:history="1">
        <w:r w:rsidRPr="00ED6351">
          <w:rPr>
            <w:rStyle w:val="Hyperlink"/>
          </w:rPr>
          <w:t>Directive - 2023/970 - EN - EUR-Lex</w:t>
        </w:r>
      </w:hyperlink>
    </w:p>
  </w:footnote>
  <w:footnote w:id="5">
    <w:p w14:paraId="2B03CE6E" w14:textId="59F22D82" w:rsidR="00ED6351" w:rsidRDefault="00ED6351">
      <w:pPr>
        <w:pStyle w:val="FootnoteText"/>
      </w:pPr>
      <w:r>
        <w:rPr>
          <w:rStyle w:val="FootnoteReference"/>
        </w:rPr>
        <w:footnoteRef/>
      </w:r>
      <w:r>
        <w:t xml:space="preserve"> </w:t>
      </w:r>
      <w:hyperlink r:id="rId5" w:history="1">
        <w:r w:rsidRPr="00ED6351">
          <w:rPr>
            <w:rStyle w:val="Hyperlink"/>
          </w:rPr>
          <w:t xml:space="preserve">Women </w:t>
        </w:r>
        <w:proofErr w:type="spellStart"/>
        <w:r w:rsidRPr="00ED6351">
          <w:rPr>
            <w:rStyle w:val="Hyperlink"/>
          </w:rPr>
          <w:t>TechEU</w:t>
        </w:r>
        <w:proofErr w:type="spellEnd"/>
        <w:r w:rsidRPr="00ED6351">
          <w:rPr>
            <w:rStyle w:val="Hyperlink"/>
          </w:rPr>
          <w:t xml:space="preserve"> - European Innovation Council and SMEs Executive Agency (EISMEA)</w:t>
        </w:r>
      </w:hyperlink>
    </w:p>
  </w:footnote>
  <w:footnote w:id="6">
    <w:p w14:paraId="0693A7BD" w14:textId="77777777" w:rsidR="00BA473C" w:rsidRDefault="00BA473C" w:rsidP="00BA473C">
      <w:pPr>
        <w:pStyle w:val="FootnoteText"/>
      </w:pPr>
      <w:r>
        <w:rPr>
          <w:rStyle w:val="FootnoteReference"/>
        </w:rPr>
        <w:footnoteRef/>
      </w:r>
      <w:r>
        <w:t xml:space="preserve"> </w:t>
      </w:r>
      <w:hyperlink r:id="rId6" w:history="1">
        <w:r w:rsidRPr="00ED6351">
          <w:rPr>
            <w:rStyle w:val="Hyperlink"/>
          </w:rPr>
          <w:t xml:space="preserve">Advancing the zero-tolerance approach to gender-based violence in higher education and research in the European Research Area | </w:t>
        </w:r>
        <w:proofErr w:type="spellStart"/>
        <w:r w:rsidRPr="00ED6351">
          <w:rPr>
            <w:rStyle w:val="Hyperlink"/>
          </w:rPr>
          <w:t>GenderSAFE</w:t>
        </w:r>
        <w:proofErr w:type="spellEnd"/>
        <w:r w:rsidRPr="00ED6351">
          <w:rPr>
            <w:rStyle w:val="Hyperlink"/>
          </w:rPr>
          <w:t xml:space="preserve"> | Project | Fact Sheet | HORIZON | CORDIS | European Commission</w:t>
        </w:r>
      </w:hyperlink>
    </w:p>
  </w:footnote>
  <w:footnote w:id="7">
    <w:p w14:paraId="3A39741B" w14:textId="07115DE1" w:rsidR="00ED6351" w:rsidRDefault="00ED6351">
      <w:pPr>
        <w:pStyle w:val="FootnoteText"/>
      </w:pPr>
      <w:r>
        <w:rPr>
          <w:rStyle w:val="FootnoteReference"/>
        </w:rPr>
        <w:footnoteRef/>
      </w:r>
      <w:r>
        <w:t xml:space="preserve"> </w:t>
      </w:r>
      <w:hyperlink r:id="rId7" w:history="1">
        <w:r w:rsidRPr="00ED6351">
          <w:rPr>
            <w:rStyle w:val="Hyperlink"/>
          </w:rPr>
          <w:t>EMPOWERMENT SERIES FOR YOUNG PARLIAMENTARIANS – INTERNATIONAL YOUTH DAY 2026: BUILDING YOUNGER AND MORE DIVERSE PARLIAMENTS | Inter-Parliamentary</w:t>
        </w:r>
      </w:hyperlink>
    </w:p>
  </w:footnote>
  <w:footnote w:id="8">
    <w:p w14:paraId="4F9D86BA" w14:textId="79973437" w:rsidR="00591FFB" w:rsidRDefault="00591FFB">
      <w:pPr>
        <w:pStyle w:val="FootnoteText"/>
      </w:pPr>
      <w:r>
        <w:rPr>
          <w:rStyle w:val="FootnoteReference"/>
        </w:rPr>
        <w:footnoteRef/>
      </w:r>
      <w:r>
        <w:t xml:space="preserve"> </w:t>
      </w:r>
      <w:hyperlink r:id="rId8" w:history="1">
        <w:r w:rsidRPr="00591FFB">
          <w:rPr>
            <w:rStyle w:val="Hyperlink"/>
          </w:rPr>
          <w:t>Gender Equality Strategy Uzbekistan | Brussels-Uzbekistan</w:t>
        </w:r>
      </w:hyperlink>
    </w:p>
  </w:footnote>
  <w:footnote w:id="9">
    <w:p w14:paraId="507F2B7B" w14:textId="6A526973" w:rsidR="00A90AD1" w:rsidRDefault="00A90AD1">
      <w:pPr>
        <w:pStyle w:val="FootnoteText"/>
      </w:pPr>
      <w:r>
        <w:rPr>
          <w:rStyle w:val="FootnoteReference"/>
        </w:rPr>
        <w:footnoteRef/>
      </w:r>
      <w:r>
        <w:t xml:space="preserve"> </w:t>
      </w:r>
      <w:hyperlink r:id="rId9" w:history="1">
        <w:r w:rsidRPr="00A90AD1">
          <w:rPr>
            <w:rStyle w:val="Hyperlink"/>
          </w:rPr>
          <w:t>In nearly all EU and OECD countries, women have surpassed men in educational attainment</w:t>
        </w:r>
      </w:hyperlink>
    </w:p>
  </w:footnote>
  <w:footnote w:id="10">
    <w:p w14:paraId="274B8866" w14:textId="41E1E6B0" w:rsidR="00A90AD1" w:rsidRDefault="00A90AD1">
      <w:pPr>
        <w:pStyle w:val="FootnoteText"/>
      </w:pPr>
      <w:r>
        <w:rPr>
          <w:rStyle w:val="FootnoteReference"/>
        </w:rPr>
        <w:footnoteRef/>
      </w:r>
      <w:r>
        <w:t xml:space="preserve"> </w:t>
      </w:r>
      <w:hyperlink r:id="rId10" w:history="1">
        <w:r w:rsidRPr="00A90AD1">
          <w:rPr>
            <w:rStyle w:val="Hyperlink"/>
          </w:rPr>
          <w:t>Proxy voting in divisions in the House - House of Commons Library</w:t>
        </w:r>
      </w:hyperlink>
    </w:p>
  </w:footnote>
  <w:footnote w:id="11">
    <w:p w14:paraId="40EABD88" w14:textId="3C6DD91D" w:rsidR="00A90AD1" w:rsidRDefault="00A90AD1">
      <w:pPr>
        <w:pStyle w:val="FootnoteText"/>
      </w:pPr>
      <w:r>
        <w:rPr>
          <w:rStyle w:val="FootnoteReference"/>
        </w:rPr>
        <w:footnoteRef/>
      </w:r>
      <w:r>
        <w:t xml:space="preserve"> </w:t>
      </w:r>
      <w:hyperlink r:id="rId11" w:history="1">
        <w:r w:rsidRPr="00A90AD1">
          <w:rPr>
            <w:rStyle w:val="Hyperlink"/>
          </w:rPr>
          <w:t>Women in Politics: 2026 | Inter-Parliamentary Union</w:t>
        </w:r>
      </w:hyperlink>
    </w:p>
  </w:footnote>
  <w:footnote w:id="12">
    <w:p w14:paraId="0BBB4031" w14:textId="7265B0CD" w:rsidR="00F131A5" w:rsidRDefault="00F131A5">
      <w:pPr>
        <w:pStyle w:val="FootnoteText"/>
      </w:pPr>
      <w:r>
        <w:rPr>
          <w:rStyle w:val="FootnoteReference"/>
        </w:rPr>
        <w:footnoteRef/>
      </w:r>
      <w:r>
        <w:t xml:space="preserve"> </w:t>
      </w:r>
      <w:hyperlink r:id="rId12" w:history="1">
        <w:r w:rsidRPr="00F131A5">
          <w:rPr>
            <w:rStyle w:val="Hyperlink"/>
          </w:rPr>
          <w:t>WIR-Annual-Report-2025-R5_FINAL_03062025.pdf</w:t>
        </w:r>
      </w:hyperlink>
    </w:p>
  </w:footnote>
  <w:footnote w:id="13">
    <w:p w14:paraId="498496B2" w14:textId="1DDFF40D" w:rsidR="00F131A5" w:rsidRDefault="00F131A5">
      <w:pPr>
        <w:pStyle w:val="FootnoteText"/>
      </w:pPr>
      <w:r>
        <w:rPr>
          <w:rStyle w:val="FootnoteReference"/>
        </w:rPr>
        <w:footnoteRef/>
      </w:r>
      <w:r>
        <w:t xml:space="preserve"> </w:t>
      </w:r>
      <w:hyperlink r:id="rId13" w:history="1">
        <w:r w:rsidRPr="00F131A5">
          <w:rPr>
            <w:rStyle w:val="Hyperlink"/>
          </w:rPr>
          <w:t>Doing Gender | JSTOR</w:t>
        </w:r>
      </w:hyperlink>
    </w:p>
  </w:footnote>
  <w:footnote w:id="14">
    <w:p w14:paraId="6BEC4A93" w14:textId="0693F1FF" w:rsidR="00F131A5" w:rsidRDefault="00F131A5">
      <w:pPr>
        <w:pStyle w:val="FootnoteText"/>
      </w:pPr>
      <w:r>
        <w:rPr>
          <w:rStyle w:val="FootnoteReference"/>
        </w:rPr>
        <w:footnoteRef/>
      </w:r>
      <w:r>
        <w:t xml:space="preserve"> </w:t>
      </w:r>
      <w:hyperlink r:id="rId14" w:history="1">
        <w:r w:rsidRPr="00F131A5">
          <w:rPr>
            <w:rStyle w:val="Hyperlink"/>
          </w:rPr>
          <w:t>(PDF) Gender in Human Resources: Hiding in plain sight</w:t>
        </w:r>
      </w:hyperlink>
    </w:p>
  </w:footnote>
  <w:footnote w:id="15">
    <w:p w14:paraId="5B46AAFA" w14:textId="6BC756C3" w:rsidR="00F131A5" w:rsidRDefault="00F131A5">
      <w:pPr>
        <w:pStyle w:val="FootnoteText"/>
      </w:pPr>
      <w:r>
        <w:rPr>
          <w:rStyle w:val="FootnoteReference"/>
        </w:rPr>
        <w:footnoteRef/>
      </w:r>
      <w:r>
        <w:t xml:space="preserve"> </w:t>
      </w:r>
      <w:hyperlink r:id="rId15" w:history="1">
        <w:r w:rsidRPr="00F131A5">
          <w:rPr>
            <w:rStyle w:val="Hyperlink"/>
          </w:rPr>
          <w:t>The Feminization of Human Resources and How It Affects Women's Careers</w:t>
        </w:r>
      </w:hyperlink>
    </w:p>
  </w:footnote>
  <w:footnote w:id="16">
    <w:p w14:paraId="7F19223F" w14:textId="331ADDA3" w:rsidR="00101E42" w:rsidRDefault="00101E42">
      <w:pPr>
        <w:pStyle w:val="FootnoteText"/>
      </w:pPr>
      <w:r>
        <w:rPr>
          <w:rStyle w:val="FootnoteReference"/>
        </w:rPr>
        <w:footnoteRef/>
      </w:r>
      <w:r>
        <w:t xml:space="preserve"> </w:t>
      </w:r>
      <w:hyperlink r:id="rId16" w:history="1">
        <w:r w:rsidRPr="00101E42">
          <w:rPr>
            <w:rStyle w:val="Hyperlink"/>
          </w:rPr>
          <w:t>Breaking Barriers: Advancing Women’s Employment and Gender Mainstreaming in Uzbekistan’s Transport Sector | United Nations Development Programme</w:t>
        </w:r>
      </w:hyperlink>
    </w:p>
  </w:footnote>
  <w:footnote w:id="17">
    <w:p w14:paraId="2C70AFB0" w14:textId="7EA414B1" w:rsidR="001C4E84" w:rsidRDefault="001C4E84">
      <w:pPr>
        <w:pStyle w:val="FootnoteText"/>
      </w:pPr>
      <w:r>
        <w:rPr>
          <w:rStyle w:val="FootnoteReference"/>
        </w:rPr>
        <w:footnoteRef/>
      </w:r>
      <w:r>
        <w:t xml:space="preserve"> </w:t>
      </w:r>
      <w:hyperlink r:id="rId17" w:history="1">
        <w:r w:rsidRPr="001C4E84">
          <w:rPr>
            <w:rStyle w:val="Hyperlink"/>
          </w:rPr>
          <w:t>WIR-Annual-Report-2025-R5_FINAL_03062025.pdf</w:t>
        </w:r>
      </w:hyperlink>
    </w:p>
  </w:footnote>
  <w:footnote w:id="18">
    <w:p w14:paraId="60667A50" w14:textId="66E044AD" w:rsidR="00526E91" w:rsidRDefault="00526E91">
      <w:pPr>
        <w:pStyle w:val="FootnoteText"/>
      </w:pPr>
      <w:r>
        <w:rPr>
          <w:rStyle w:val="FootnoteReference"/>
        </w:rPr>
        <w:footnoteRef/>
      </w:r>
      <w:r>
        <w:t xml:space="preserve"> </w:t>
      </w:r>
      <w:hyperlink r:id="rId18" w:history="1">
        <w:r w:rsidRPr="00526E91">
          <w:rPr>
            <w:rStyle w:val="Hyperlink"/>
          </w:rPr>
          <w:t>Being Muslim in the EU - Experiences of Muslims | European Union Agency for Fundamental Rights</w:t>
        </w:r>
      </w:hyperlink>
    </w:p>
  </w:footnote>
  <w:footnote w:id="19">
    <w:p w14:paraId="3F5ABC5E" w14:textId="2DEE7440" w:rsidR="00702E1C" w:rsidRDefault="00702E1C">
      <w:pPr>
        <w:pStyle w:val="FootnoteText"/>
      </w:pPr>
      <w:r>
        <w:rPr>
          <w:rStyle w:val="FootnoteReference"/>
        </w:rPr>
        <w:footnoteRef/>
      </w:r>
      <w:r>
        <w:t xml:space="preserve"> </w:t>
      </w:r>
      <w:hyperlink r:id="rId19" w:history="1">
        <w:r w:rsidRPr="00702E1C">
          <w:rPr>
            <w:rStyle w:val="Hyperlink"/>
          </w:rPr>
          <w:t>Being Black in the EU – Experiences of people of African descent | European Union Agency for Fundamental Rights</w:t>
        </w:r>
      </w:hyperlink>
    </w:p>
  </w:footnote>
  <w:footnote w:id="20">
    <w:p w14:paraId="51181501" w14:textId="3DB488EA" w:rsidR="00E61A25" w:rsidRDefault="00E61A25">
      <w:pPr>
        <w:pStyle w:val="FootnoteText"/>
      </w:pPr>
      <w:r>
        <w:rPr>
          <w:rStyle w:val="FootnoteReference"/>
        </w:rPr>
        <w:footnoteRef/>
      </w:r>
      <w:r>
        <w:t xml:space="preserve"> </w:t>
      </w:r>
      <w:hyperlink r:id="rId20" w:history="1">
        <w:r w:rsidRPr="00E61A25">
          <w:rPr>
            <w:rStyle w:val="Hyperlink"/>
          </w:rPr>
          <w:t>Bridging the Finance Gap for Women Entrepreneurs | OECD</w:t>
        </w:r>
      </w:hyperlink>
    </w:p>
  </w:footnote>
  <w:footnote w:id="21">
    <w:p w14:paraId="4729C99E" w14:textId="6C6B86E0" w:rsidR="00450AA2" w:rsidRDefault="00450AA2">
      <w:pPr>
        <w:pStyle w:val="FootnoteText"/>
      </w:pPr>
      <w:r>
        <w:rPr>
          <w:rStyle w:val="FootnoteReference"/>
        </w:rPr>
        <w:footnoteRef/>
      </w:r>
      <w:r>
        <w:t xml:space="preserve"> </w:t>
      </w:r>
      <w:hyperlink r:id="rId21" w:history="1">
        <w:r w:rsidRPr="00450AA2">
          <w:rPr>
            <w:rStyle w:val="Hyperlink"/>
          </w:rPr>
          <w:t>Full article: Women’s Participation in Peace Negotiations and the Durability of Peace</w:t>
        </w:r>
      </w:hyperlink>
    </w:p>
  </w:footnote>
  <w:footnote w:id="22">
    <w:p w14:paraId="2D1A0B7A" w14:textId="77777777" w:rsidR="0066238D" w:rsidRDefault="0066238D" w:rsidP="0066238D">
      <w:pPr>
        <w:pStyle w:val="FootnoteText"/>
      </w:pPr>
      <w:r>
        <w:rPr>
          <w:rStyle w:val="FootnoteReference"/>
        </w:rPr>
        <w:footnoteRef/>
      </w:r>
      <w:r>
        <w:t xml:space="preserve"> </w:t>
      </w:r>
      <w:hyperlink r:id="rId22" w:history="1">
        <w:r w:rsidRPr="0075383B">
          <w:rPr>
            <w:rStyle w:val="Hyperlink"/>
          </w:rPr>
          <w:t xml:space="preserve">Meet The Next Generation </w:t>
        </w:r>
        <w:proofErr w:type="gramStart"/>
        <w:r w:rsidRPr="0075383B">
          <w:rPr>
            <w:rStyle w:val="Hyperlink"/>
          </w:rPr>
          <w:t>Of</w:t>
        </w:r>
        <w:proofErr w:type="gramEnd"/>
        <w:r w:rsidRPr="0075383B">
          <w:rPr>
            <w:rStyle w:val="Hyperlink"/>
          </w:rPr>
          <w:t xml:space="preserve"> European Queens | British Vogue</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286"/>
    <w:rsid w:val="00024627"/>
    <w:rsid w:val="00053068"/>
    <w:rsid w:val="00084B56"/>
    <w:rsid w:val="000A24C7"/>
    <w:rsid w:val="00101E42"/>
    <w:rsid w:val="00124601"/>
    <w:rsid w:val="0013000D"/>
    <w:rsid w:val="00132719"/>
    <w:rsid w:val="00136CF7"/>
    <w:rsid w:val="00156AFC"/>
    <w:rsid w:val="00174030"/>
    <w:rsid w:val="001853EC"/>
    <w:rsid w:val="00187C73"/>
    <w:rsid w:val="001919ED"/>
    <w:rsid w:val="0019324B"/>
    <w:rsid w:val="001C4E84"/>
    <w:rsid w:val="001D34E7"/>
    <w:rsid w:val="001E48E0"/>
    <w:rsid w:val="0020055F"/>
    <w:rsid w:val="00206215"/>
    <w:rsid w:val="0021205C"/>
    <w:rsid w:val="002458C4"/>
    <w:rsid w:val="00260C96"/>
    <w:rsid w:val="002A56E8"/>
    <w:rsid w:val="002A732A"/>
    <w:rsid w:val="002F248E"/>
    <w:rsid w:val="002F3031"/>
    <w:rsid w:val="003405CF"/>
    <w:rsid w:val="0034141D"/>
    <w:rsid w:val="0034306E"/>
    <w:rsid w:val="00352316"/>
    <w:rsid w:val="00390FD0"/>
    <w:rsid w:val="003A45DA"/>
    <w:rsid w:val="003D322D"/>
    <w:rsid w:val="003E3613"/>
    <w:rsid w:val="00445641"/>
    <w:rsid w:val="00450AA2"/>
    <w:rsid w:val="004666B3"/>
    <w:rsid w:val="004C2FA9"/>
    <w:rsid w:val="004D67AC"/>
    <w:rsid w:val="00525BAB"/>
    <w:rsid w:val="00526E91"/>
    <w:rsid w:val="005605CA"/>
    <w:rsid w:val="0057062A"/>
    <w:rsid w:val="005766F4"/>
    <w:rsid w:val="00591FFB"/>
    <w:rsid w:val="005D1C04"/>
    <w:rsid w:val="005F624D"/>
    <w:rsid w:val="0060691B"/>
    <w:rsid w:val="00650E68"/>
    <w:rsid w:val="0066238D"/>
    <w:rsid w:val="00684B41"/>
    <w:rsid w:val="006911B6"/>
    <w:rsid w:val="00702286"/>
    <w:rsid w:val="00702E1C"/>
    <w:rsid w:val="00720C9A"/>
    <w:rsid w:val="00752FD5"/>
    <w:rsid w:val="0075383B"/>
    <w:rsid w:val="00780081"/>
    <w:rsid w:val="007C1A52"/>
    <w:rsid w:val="007F4CE8"/>
    <w:rsid w:val="008A07C4"/>
    <w:rsid w:val="008B040E"/>
    <w:rsid w:val="008D499F"/>
    <w:rsid w:val="008E1D95"/>
    <w:rsid w:val="008F59D5"/>
    <w:rsid w:val="00907460"/>
    <w:rsid w:val="00936A39"/>
    <w:rsid w:val="00940530"/>
    <w:rsid w:val="0097523E"/>
    <w:rsid w:val="009B0D59"/>
    <w:rsid w:val="009B7189"/>
    <w:rsid w:val="009C2D89"/>
    <w:rsid w:val="009D7E4F"/>
    <w:rsid w:val="009F287E"/>
    <w:rsid w:val="00A04FB8"/>
    <w:rsid w:val="00A06C72"/>
    <w:rsid w:val="00A1521D"/>
    <w:rsid w:val="00A24015"/>
    <w:rsid w:val="00A261E0"/>
    <w:rsid w:val="00A4229E"/>
    <w:rsid w:val="00A45CF0"/>
    <w:rsid w:val="00A80230"/>
    <w:rsid w:val="00A90AD1"/>
    <w:rsid w:val="00AA0577"/>
    <w:rsid w:val="00B42D5F"/>
    <w:rsid w:val="00B87F65"/>
    <w:rsid w:val="00BA28CF"/>
    <w:rsid w:val="00BA473C"/>
    <w:rsid w:val="00BC23A1"/>
    <w:rsid w:val="00BE72E4"/>
    <w:rsid w:val="00C01A99"/>
    <w:rsid w:val="00C31C62"/>
    <w:rsid w:val="00C52626"/>
    <w:rsid w:val="00C5525A"/>
    <w:rsid w:val="00C63B8A"/>
    <w:rsid w:val="00CA307B"/>
    <w:rsid w:val="00CE25E3"/>
    <w:rsid w:val="00D0685A"/>
    <w:rsid w:val="00D51590"/>
    <w:rsid w:val="00D74A36"/>
    <w:rsid w:val="00D75F6B"/>
    <w:rsid w:val="00D8706C"/>
    <w:rsid w:val="00D916AB"/>
    <w:rsid w:val="00DB6CBC"/>
    <w:rsid w:val="00DE0650"/>
    <w:rsid w:val="00DE11FE"/>
    <w:rsid w:val="00DF4FF8"/>
    <w:rsid w:val="00DF52AD"/>
    <w:rsid w:val="00E15996"/>
    <w:rsid w:val="00E15B6D"/>
    <w:rsid w:val="00E61A25"/>
    <w:rsid w:val="00E703A5"/>
    <w:rsid w:val="00E86BAB"/>
    <w:rsid w:val="00ED56AC"/>
    <w:rsid w:val="00ED6351"/>
    <w:rsid w:val="00EF2A07"/>
    <w:rsid w:val="00F05073"/>
    <w:rsid w:val="00F123A9"/>
    <w:rsid w:val="00F131A5"/>
    <w:rsid w:val="00F63D3C"/>
    <w:rsid w:val="00FC483E"/>
    <w:rsid w:val="00FF0C0C"/>
    <w:rsid w:val="00FF5F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37E11D"/>
  <w15:chartTrackingRefBased/>
  <w15:docId w15:val="{5F6E12BE-AD08-4337-AA9C-4F29FEFD2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351"/>
  </w:style>
  <w:style w:type="paragraph" w:styleId="Heading1">
    <w:name w:val="heading 1"/>
    <w:basedOn w:val="Normal"/>
    <w:next w:val="Normal"/>
    <w:link w:val="Heading1Char"/>
    <w:uiPriority w:val="9"/>
    <w:qFormat/>
    <w:rsid w:val="007022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22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22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22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22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22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22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22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22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22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22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22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22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22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22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22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22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2286"/>
    <w:rPr>
      <w:rFonts w:eastAsiaTheme="majorEastAsia" w:cstheme="majorBidi"/>
      <w:color w:val="272727" w:themeColor="text1" w:themeTint="D8"/>
    </w:rPr>
  </w:style>
  <w:style w:type="paragraph" w:styleId="Title">
    <w:name w:val="Title"/>
    <w:basedOn w:val="Normal"/>
    <w:next w:val="Normal"/>
    <w:link w:val="TitleChar"/>
    <w:uiPriority w:val="10"/>
    <w:qFormat/>
    <w:rsid w:val="007022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22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22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22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2286"/>
    <w:pPr>
      <w:spacing w:before="160"/>
      <w:jc w:val="center"/>
    </w:pPr>
    <w:rPr>
      <w:i/>
      <w:iCs/>
      <w:color w:val="404040" w:themeColor="text1" w:themeTint="BF"/>
    </w:rPr>
  </w:style>
  <w:style w:type="character" w:customStyle="1" w:styleId="QuoteChar">
    <w:name w:val="Quote Char"/>
    <w:basedOn w:val="DefaultParagraphFont"/>
    <w:link w:val="Quote"/>
    <w:uiPriority w:val="29"/>
    <w:rsid w:val="00702286"/>
    <w:rPr>
      <w:i/>
      <w:iCs/>
      <w:color w:val="404040" w:themeColor="text1" w:themeTint="BF"/>
    </w:rPr>
  </w:style>
  <w:style w:type="paragraph" w:styleId="ListParagraph">
    <w:name w:val="List Paragraph"/>
    <w:basedOn w:val="Normal"/>
    <w:uiPriority w:val="34"/>
    <w:qFormat/>
    <w:rsid w:val="00702286"/>
    <w:pPr>
      <w:ind w:left="720"/>
      <w:contextualSpacing/>
    </w:pPr>
  </w:style>
  <w:style w:type="character" w:styleId="IntenseEmphasis">
    <w:name w:val="Intense Emphasis"/>
    <w:basedOn w:val="DefaultParagraphFont"/>
    <w:uiPriority w:val="21"/>
    <w:qFormat/>
    <w:rsid w:val="00702286"/>
    <w:rPr>
      <w:i/>
      <w:iCs/>
      <w:color w:val="0F4761" w:themeColor="accent1" w:themeShade="BF"/>
    </w:rPr>
  </w:style>
  <w:style w:type="paragraph" w:styleId="IntenseQuote">
    <w:name w:val="Intense Quote"/>
    <w:basedOn w:val="Normal"/>
    <w:next w:val="Normal"/>
    <w:link w:val="IntenseQuoteChar"/>
    <w:uiPriority w:val="30"/>
    <w:qFormat/>
    <w:rsid w:val="007022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2286"/>
    <w:rPr>
      <w:i/>
      <w:iCs/>
      <w:color w:val="0F4761" w:themeColor="accent1" w:themeShade="BF"/>
    </w:rPr>
  </w:style>
  <w:style w:type="character" w:styleId="IntenseReference">
    <w:name w:val="Intense Reference"/>
    <w:basedOn w:val="DefaultParagraphFont"/>
    <w:uiPriority w:val="32"/>
    <w:qFormat/>
    <w:rsid w:val="00702286"/>
    <w:rPr>
      <w:b/>
      <w:bCs/>
      <w:smallCaps/>
      <w:color w:val="0F4761" w:themeColor="accent1" w:themeShade="BF"/>
      <w:spacing w:val="5"/>
    </w:rPr>
  </w:style>
  <w:style w:type="paragraph" w:styleId="FootnoteText">
    <w:name w:val="footnote text"/>
    <w:basedOn w:val="Normal"/>
    <w:link w:val="FootnoteTextChar"/>
    <w:uiPriority w:val="99"/>
    <w:semiHidden/>
    <w:unhideWhenUsed/>
    <w:rsid w:val="00ED635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D6351"/>
    <w:rPr>
      <w:sz w:val="20"/>
      <w:szCs w:val="20"/>
    </w:rPr>
  </w:style>
  <w:style w:type="character" w:styleId="FootnoteReference">
    <w:name w:val="footnote reference"/>
    <w:basedOn w:val="DefaultParagraphFont"/>
    <w:uiPriority w:val="99"/>
    <w:semiHidden/>
    <w:unhideWhenUsed/>
    <w:rsid w:val="00ED6351"/>
    <w:rPr>
      <w:vertAlign w:val="superscript"/>
    </w:rPr>
  </w:style>
  <w:style w:type="character" w:styleId="Hyperlink">
    <w:name w:val="Hyperlink"/>
    <w:basedOn w:val="DefaultParagraphFont"/>
    <w:uiPriority w:val="99"/>
    <w:unhideWhenUsed/>
    <w:rsid w:val="00ED6351"/>
    <w:rPr>
      <w:color w:val="467886" w:themeColor="hyperlink"/>
      <w:u w:val="single"/>
    </w:rPr>
  </w:style>
  <w:style w:type="character" w:styleId="UnresolvedMention">
    <w:name w:val="Unresolved Mention"/>
    <w:basedOn w:val="DefaultParagraphFont"/>
    <w:uiPriority w:val="99"/>
    <w:semiHidden/>
    <w:unhideWhenUsed/>
    <w:rsid w:val="00ED63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brussels-uzbekistan.org/gender-equality-strategy-uzbekistan" TargetMode="External"/><Relationship Id="rId13" Type="http://schemas.openxmlformats.org/officeDocument/2006/relationships/hyperlink" Target="https://www.jstor.org/stable/189945" TargetMode="External"/><Relationship Id="rId18" Type="http://schemas.openxmlformats.org/officeDocument/2006/relationships/hyperlink" Target="https://fra.europa.eu/en/publication/2024/being-muslim-eu" TargetMode="External"/><Relationship Id="rId3" Type="http://schemas.openxmlformats.org/officeDocument/2006/relationships/hyperlink" Target="https://5050parliament.co.uk/" TargetMode="External"/><Relationship Id="rId21" Type="http://schemas.openxmlformats.org/officeDocument/2006/relationships/hyperlink" Target="https://www.tandfonline.com/doi/full/10.1080/03050629.2018.1492386" TargetMode="External"/><Relationship Id="rId7" Type="http://schemas.openxmlformats.org/officeDocument/2006/relationships/hyperlink" Target="https://www.ipu.org/event/empowerment-series-young-parliamentarians-international-youth-day-2026-building-younger-and-more-diverse-parliaments" TargetMode="External"/><Relationship Id="rId12" Type="http://schemas.openxmlformats.org/officeDocument/2006/relationships/hyperlink" Target="https://21178334.fs1.hubspotusercontent-na1.net/hubfs/21178334/WIR-Annual-Report-2025-R5_FINAL_03062025.pdf" TargetMode="External"/><Relationship Id="rId17" Type="http://schemas.openxmlformats.org/officeDocument/2006/relationships/hyperlink" Target="https://21178334.fs1.hubspotusercontent-na1.net/hubfs/21178334/WIR-Annual-Report-2025-R5_FINAL_03062025.pdf" TargetMode="External"/><Relationship Id="rId2" Type="http://schemas.openxmlformats.org/officeDocument/2006/relationships/hyperlink" Target="https://www.uzembassy.uk/news/1634" TargetMode="External"/><Relationship Id="rId16" Type="http://schemas.openxmlformats.org/officeDocument/2006/relationships/hyperlink" Target="https://www.undp.org/uzbekistan/press-releases/breaking-barriers-advancing-womens-employment-and-gender-mainstreaming-uzbekistans-transport-sector" TargetMode="External"/><Relationship Id="rId20" Type="http://schemas.openxmlformats.org/officeDocument/2006/relationships/hyperlink" Target="https://www.oecd.org/en/publications/bridging-the-finance-gap-for-women-entrepreneurs_75b52972-en.html" TargetMode="External"/><Relationship Id="rId1" Type="http://schemas.openxmlformats.org/officeDocument/2006/relationships/hyperlink" Target="https://commission.europa.eu/strategy-and-policy/policies/justice-and-fundamental-rights/gender-equality/equal-pay/gender-pay-gap-situation-eu_en" TargetMode="External"/><Relationship Id="rId6" Type="http://schemas.openxmlformats.org/officeDocument/2006/relationships/hyperlink" Target="https://cordis.europa.eu/project/id/101130898" TargetMode="External"/><Relationship Id="rId11" Type="http://schemas.openxmlformats.org/officeDocument/2006/relationships/hyperlink" Target="https://www.ipu.org/resources/publications/infographics/2026-03/women-in-politics-2026" TargetMode="External"/><Relationship Id="rId5" Type="http://schemas.openxmlformats.org/officeDocument/2006/relationships/hyperlink" Target="https://eismea.ec.europa.eu/programmes/european-innovation-ecosystems/women-techeu_en" TargetMode="External"/><Relationship Id="rId15" Type="http://schemas.openxmlformats.org/officeDocument/2006/relationships/hyperlink" Target="https://digitalcommons.bryant.edu/cgi/viewcontent.cgi?article=1046&amp;context=honors_management" TargetMode="External"/><Relationship Id="rId10" Type="http://schemas.openxmlformats.org/officeDocument/2006/relationships/hyperlink" Target="https://commonslibrary.parliament.uk/research-briefings/cbp-8359/" TargetMode="External"/><Relationship Id="rId19" Type="http://schemas.openxmlformats.org/officeDocument/2006/relationships/hyperlink" Target="https://fra.europa.eu/en/publication/2023/being-black-eu" TargetMode="External"/><Relationship Id="rId4" Type="http://schemas.openxmlformats.org/officeDocument/2006/relationships/hyperlink" Target="https://eur-lex.europa.eu/eli/dir/2023/970/oj/eng" TargetMode="External"/><Relationship Id="rId9" Type="http://schemas.openxmlformats.org/officeDocument/2006/relationships/hyperlink" Target="https://www.oecd.org/en/publications/gender-equality-in-a-changing-world_e808086f-en/full-report/gender-gaps-in-educational-attainment-and-outcomes-remain_33ea8a2f.html" TargetMode="External"/><Relationship Id="rId14" Type="http://schemas.openxmlformats.org/officeDocument/2006/relationships/hyperlink" Target="https://www.researchgate.net/publication/359278442_Gender_in_Human_Resources_Hiding_in_plain_sight" TargetMode="External"/><Relationship Id="rId22" Type="http://schemas.openxmlformats.org/officeDocument/2006/relationships/hyperlink" Target="https://www.vogue.co.uk/article/gen-z-european-quee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657739-3556-4834-B426-9D5AA19EBD97}">
  <ds:schemaRefs>
    <ds:schemaRef ds:uri="http://schemas.openxmlformats.org/officeDocument/2006/bibliography"/>
  </ds:schemaRefs>
</ds:datastoreItem>
</file>

<file path=docMetadata/LabelInfo.xml><?xml version="1.0" encoding="utf-8"?>
<clbl:labelList xmlns:clbl="http://schemas.microsoft.com/office/2020/mipLabelMetadata">
  <clbl:label id="{5b68e17b-e5f9-469e-b0cf-bed4fb97f95b}" enabled="0" method="" siteId="{5b68e17b-e5f9-469e-b0cf-bed4fb97f95b}" removed="1"/>
</clbl:labelList>
</file>

<file path=docProps/app.xml><?xml version="1.0" encoding="utf-8"?>
<Properties xmlns="http://schemas.openxmlformats.org/officeDocument/2006/extended-properties" xmlns:vt="http://schemas.openxmlformats.org/officeDocument/2006/docPropsVTypes">
  <Template>Normal</Template>
  <TotalTime>366</TotalTime>
  <Pages>5</Pages>
  <Words>1208</Words>
  <Characters>7834</Characters>
  <Application>Microsoft Office Word</Application>
  <DocSecurity>0</DocSecurity>
  <Lines>130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Betty Axtell</dc:creator>
  <cp:keywords/>
  <dc:description/>
  <cp:lastModifiedBy>Betty Axtell</cp:lastModifiedBy>
  <cp:revision>114</cp:revision>
  <dcterms:created xsi:type="dcterms:W3CDTF">2026-09-18T10:26:00Z</dcterms:created>
  <dcterms:modified xsi:type="dcterms:W3CDTF">2026-09-21T17:59:00Z</dcterms:modified>
</cp:coreProperties>
</file>